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color w:val="000000"/>
        </w:rPr>
      </w:pPr>
      <w:r>
        <w:rPr>
          <w:rFonts w:hint="eastAsia"/>
          <w:color w:val="000000"/>
        </w:rPr>
        <w:t>屏山县城区各类用地基准地价一览表</w:t>
      </w:r>
    </w:p>
    <w:p>
      <w:pPr>
        <w:pStyle w:val="11"/>
        <w:rPr>
          <w:color w:val="000000"/>
        </w:rPr>
      </w:pPr>
      <w:r>
        <w:rPr>
          <w:rFonts w:hint="eastAsia"/>
          <w:color w:val="000000"/>
        </w:rPr>
        <w:t>表1-3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316"/>
        <w:gridCol w:w="1672"/>
        <w:gridCol w:w="1369"/>
        <w:gridCol w:w="1283"/>
        <w:gridCol w:w="12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02"/>
              <w:jc w:val="left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  <w:t xml:space="preserve">                级别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用途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Ⅰ级</w:t>
            </w:r>
          </w:p>
        </w:tc>
        <w:tc>
          <w:tcPr>
            <w:tcW w:w="8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Ⅱ级</w:t>
            </w:r>
          </w:p>
        </w:tc>
        <w:tc>
          <w:tcPr>
            <w:tcW w:w="7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Ⅲ级</w:t>
            </w:r>
          </w:p>
        </w:tc>
        <w:tc>
          <w:tcPr>
            <w:tcW w:w="7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Ⅳ级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商服用地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元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/㎡</w:t>
            </w:r>
          </w:p>
        </w:tc>
        <w:tc>
          <w:tcPr>
            <w:tcW w:w="9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1486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万元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  <w:t>/亩</w:t>
            </w:r>
          </w:p>
        </w:tc>
        <w:tc>
          <w:tcPr>
            <w:tcW w:w="9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 xml:space="preserve">99.07 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 xml:space="preserve">67.20 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 xml:space="preserve">47.40 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 xml:space="preserve">33.00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住宅用地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元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/㎡</w:t>
            </w:r>
          </w:p>
        </w:tc>
        <w:tc>
          <w:tcPr>
            <w:tcW w:w="9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1154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万元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  <w:t>/亩</w:t>
            </w:r>
          </w:p>
        </w:tc>
        <w:tc>
          <w:tcPr>
            <w:tcW w:w="9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76.93 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59.73 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43.73 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31.67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工业用地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元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/㎡</w:t>
            </w:r>
          </w:p>
        </w:tc>
        <w:tc>
          <w:tcPr>
            <w:tcW w:w="9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万元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  <w:t>/亩</w:t>
            </w:r>
          </w:p>
        </w:tc>
        <w:tc>
          <w:tcPr>
            <w:tcW w:w="9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 xml:space="preserve">12.87 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 xml:space="preserve">10.33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公共管理与公共服务用地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元/㎡</w:t>
            </w:r>
          </w:p>
        </w:tc>
        <w:tc>
          <w:tcPr>
            <w:tcW w:w="9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618</w:t>
            </w:r>
          </w:p>
        </w:tc>
        <w:tc>
          <w:tcPr>
            <w:tcW w:w="8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478</w:t>
            </w:r>
          </w:p>
        </w:tc>
        <w:tc>
          <w:tcPr>
            <w:tcW w:w="7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367</w:t>
            </w:r>
          </w:p>
        </w:tc>
        <w:tc>
          <w:tcPr>
            <w:tcW w:w="7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万元/亩</w:t>
            </w:r>
          </w:p>
        </w:tc>
        <w:tc>
          <w:tcPr>
            <w:tcW w:w="9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 xml:space="preserve">41.20 </w:t>
            </w:r>
          </w:p>
        </w:tc>
        <w:tc>
          <w:tcPr>
            <w:tcW w:w="8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 xml:space="preserve">31.87 </w:t>
            </w:r>
          </w:p>
        </w:tc>
        <w:tc>
          <w:tcPr>
            <w:tcW w:w="7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 xml:space="preserve">24.47 </w:t>
            </w:r>
          </w:p>
        </w:tc>
        <w:tc>
          <w:tcPr>
            <w:tcW w:w="7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 xml:space="preserve">18.93 </w:t>
            </w:r>
          </w:p>
        </w:tc>
      </w:tr>
    </w:tbl>
    <w:p>
      <w:pPr>
        <w:spacing w:line="300" w:lineRule="exact"/>
        <w:ind w:firstLine="434"/>
        <w:jc w:val="left"/>
        <w:rPr>
          <w:rFonts w:ascii="宋体" w:hAnsi="宋体" w:eastAsia="宋体"/>
          <w:color w:val="000000"/>
          <w:sz w:val="20"/>
          <w:szCs w:val="20"/>
        </w:rPr>
      </w:pPr>
      <w:r>
        <w:rPr>
          <w:rFonts w:hint="eastAsia" w:ascii="宋体" w:hAnsi="宋体" w:eastAsia="宋体"/>
          <w:color w:val="000000"/>
          <w:sz w:val="20"/>
          <w:szCs w:val="20"/>
        </w:rPr>
        <w:t>备注：工业Ⅰ级、Ⅱ级基准地价价格参考工业Ⅲ级基准地价价格执行。</w:t>
      </w:r>
    </w:p>
    <w:p>
      <w:pPr>
        <w:tabs>
          <w:tab w:val="left" w:pos="1550"/>
          <w:tab w:val="left" w:pos="1965"/>
          <w:tab w:val="left" w:pos="4875"/>
        </w:tabs>
        <w:spacing w:line="600" w:lineRule="exact"/>
        <w:ind w:firstLine="560" w:firstLineChars="200"/>
        <w:rPr>
          <w:rFonts w:hint="eastAsia" w:ascii="宋体" w:hAnsi="宋体" w:eastAsia="宋体"/>
          <w:color w:val="000000"/>
          <w:kern w:val="0"/>
          <w:szCs w:val="28"/>
        </w:rPr>
      </w:pPr>
    </w:p>
    <w:p>
      <w:pPr>
        <w:tabs>
          <w:tab w:val="left" w:pos="1550"/>
          <w:tab w:val="left" w:pos="1965"/>
          <w:tab w:val="left" w:pos="4875"/>
        </w:tabs>
        <w:spacing w:line="600" w:lineRule="exact"/>
        <w:ind w:firstLine="560" w:firstLineChars="200"/>
        <w:rPr>
          <w:rFonts w:ascii="宋体" w:hAnsi="宋体" w:eastAsia="宋体"/>
          <w:color w:val="000000"/>
          <w:kern w:val="0"/>
          <w:szCs w:val="28"/>
        </w:rPr>
      </w:pPr>
      <w:r>
        <w:rPr>
          <w:rFonts w:hint="eastAsia" w:ascii="宋体" w:hAnsi="宋体" w:eastAsia="宋体"/>
          <w:color w:val="000000"/>
          <w:kern w:val="0"/>
          <w:szCs w:val="28"/>
        </w:rPr>
        <w:t xml:space="preserve"> 基准地价内涵</w:t>
      </w:r>
    </w:p>
    <w:p>
      <w:pPr>
        <w:tabs>
          <w:tab w:val="left" w:pos="1550"/>
          <w:tab w:val="left" w:pos="1965"/>
          <w:tab w:val="left" w:pos="4875"/>
        </w:tabs>
        <w:spacing w:line="600" w:lineRule="exact"/>
        <w:ind w:firstLine="560" w:firstLineChars="200"/>
        <w:rPr>
          <w:rFonts w:ascii="宋体" w:hAnsi="宋体" w:eastAsia="宋体"/>
          <w:color w:val="000000"/>
          <w:kern w:val="0"/>
          <w:szCs w:val="28"/>
        </w:rPr>
      </w:pPr>
      <w:r>
        <w:rPr>
          <w:rFonts w:hint="eastAsia" w:ascii="宋体" w:hAnsi="宋体" w:eastAsia="宋体"/>
          <w:color w:val="000000"/>
          <w:kern w:val="0"/>
          <w:szCs w:val="28"/>
        </w:rPr>
        <w:t>（</w:t>
      </w:r>
      <w:r>
        <w:rPr>
          <w:rFonts w:ascii="宋体" w:hAnsi="宋体" w:eastAsia="宋体"/>
          <w:color w:val="000000"/>
          <w:kern w:val="0"/>
          <w:szCs w:val="28"/>
        </w:rPr>
        <w:t>1</w:t>
      </w:r>
      <w:r>
        <w:rPr>
          <w:rFonts w:hint="eastAsia" w:ascii="宋体" w:hAnsi="宋体" w:eastAsia="宋体"/>
          <w:color w:val="000000"/>
          <w:kern w:val="0"/>
          <w:szCs w:val="28"/>
        </w:rPr>
        <w:t>）估价期日</w:t>
      </w:r>
    </w:p>
    <w:p>
      <w:pPr>
        <w:tabs>
          <w:tab w:val="left" w:pos="1550"/>
          <w:tab w:val="left" w:pos="1965"/>
          <w:tab w:val="left" w:pos="4875"/>
        </w:tabs>
        <w:spacing w:line="600" w:lineRule="exact"/>
        <w:ind w:firstLine="560" w:firstLineChars="200"/>
        <w:rPr>
          <w:rFonts w:ascii="宋体" w:hAnsi="宋体" w:eastAsia="宋体"/>
          <w:color w:val="000000"/>
          <w:kern w:val="0"/>
          <w:szCs w:val="28"/>
        </w:rPr>
      </w:pPr>
      <w:r>
        <w:rPr>
          <w:rFonts w:hint="eastAsia" w:ascii="宋体" w:hAnsi="宋体" w:eastAsia="宋体"/>
          <w:color w:val="000000"/>
          <w:kern w:val="0"/>
          <w:szCs w:val="28"/>
        </w:rPr>
        <w:t>2021年1月1日。</w:t>
      </w:r>
    </w:p>
    <w:p>
      <w:pPr>
        <w:tabs>
          <w:tab w:val="left" w:pos="1550"/>
          <w:tab w:val="left" w:pos="1965"/>
          <w:tab w:val="left" w:pos="4875"/>
        </w:tabs>
        <w:spacing w:line="600" w:lineRule="exact"/>
        <w:ind w:firstLine="560" w:firstLineChars="200"/>
        <w:rPr>
          <w:rFonts w:ascii="宋体" w:hAnsi="宋体" w:eastAsia="宋体"/>
          <w:color w:val="000000"/>
          <w:kern w:val="0"/>
          <w:szCs w:val="28"/>
        </w:rPr>
      </w:pPr>
      <w:r>
        <w:rPr>
          <w:rFonts w:hint="eastAsia" w:ascii="宋体" w:hAnsi="宋体" w:eastAsia="宋体"/>
          <w:color w:val="000000"/>
          <w:kern w:val="0"/>
          <w:szCs w:val="28"/>
        </w:rPr>
        <w:t>（2）土地使用年期</w:t>
      </w:r>
    </w:p>
    <w:p>
      <w:pPr>
        <w:tabs>
          <w:tab w:val="left" w:pos="1550"/>
          <w:tab w:val="left" w:pos="1965"/>
          <w:tab w:val="left" w:pos="4875"/>
        </w:tabs>
        <w:spacing w:line="600" w:lineRule="exact"/>
        <w:ind w:firstLine="560" w:firstLineChars="200"/>
        <w:rPr>
          <w:rFonts w:ascii="宋体" w:hAnsi="宋体" w:eastAsia="宋体"/>
          <w:color w:val="000000"/>
          <w:kern w:val="0"/>
          <w:szCs w:val="28"/>
        </w:rPr>
      </w:pPr>
      <w:r>
        <w:rPr>
          <w:rFonts w:hint="eastAsia" w:ascii="宋体" w:hAnsi="宋体" w:eastAsia="宋体"/>
          <w:color w:val="000000"/>
          <w:kern w:val="0"/>
          <w:szCs w:val="28"/>
        </w:rPr>
        <w:t>商服用地：</w:t>
      </w:r>
      <w:r>
        <w:rPr>
          <w:rFonts w:ascii="宋体" w:hAnsi="宋体" w:eastAsia="宋体"/>
          <w:color w:val="000000"/>
          <w:kern w:val="0"/>
          <w:szCs w:val="28"/>
        </w:rPr>
        <w:t>40年；住宅用地：70年；工业用地：50年；公共管理与公共服务用地：50年</w:t>
      </w:r>
      <w:r>
        <w:rPr>
          <w:rFonts w:hint="eastAsia" w:ascii="宋体" w:hAnsi="宋体" w:eastAsia="宋体"/>
          <w:color w:val="000000"/>
          <w:kern w:val="0"/>
          <w:szCs w:val="28"/>
        </w:rPr>
        <w:t>。</w:t>
      </w:r>
    </w:p>
    <w:p>
      <w:pPr>
        <w:tabs>
          <w:tab w:val="left" w:pos="1550"/>
          <w:tab w:val="left" w:pos="1965"/>
          <w:tab w:val="left" w:pos="4875"/>
        </w:tabs>
        <w:spacing w:line="600" w:lineRule="exact"/>
        <w:ind w:firstLine="560" w:firstLineChars="200"/>
        <w:rPr>
          <w:rFonts w:ascii="宋体" w:hAnsi="宋体" w:eastAsia="宋体"/>
          <w:color w:val="000000"/>
          <w:kern w:val="0"/>
          <w:szCs w:val="28"/>
        </w:rPr>
      </w:pPr>
      <w:r>
        <w:rPr>
          <w:rFonts w:hint="eastAsia" w:ascii="宋体" w:hAnsi="宋体" w:eastAsia="宋体"/>
          <w:color w:val="000000"/>
          <w:kern w:val="0"/>
          <w:szCs w:val="28"/>
        </w:rPr>
        <w:t>（3）容积率</w:t>
      </w:r>
    </w:p>
    <w:p>
      <w:pPr>
        <w:tabs>
          <w:tab w:val="left" w:pos="1550"/>
          <w:tab w:val="left" w:pos="1965"/>
          <w:tab w:val="left" w:pos="4875"/>
        </w:tabs>
        <w:spacing w:line="600" w:lineRule="exact"/>
        <w:ind w:firstLine="560" w:firstLineChars="200"/>
        <w:rPr>
          <w:rFonts w:ascii="宋体" w:hAnsi="宋体" w:eastAsia="宋体"/>
          <w:color w:val="000000"/>
          <w:kern w:val="0"/>
          <w:szCs w:val="28"/>
        </w:rPr>
      </w:pPr>
      <w:r>
        <w:rPr>
          <w:rFonts w:hint="eastAsia" w:ascii="宋体" w:hAnsi="宋体" w:eastAsia="宋体"/>
          <w:color w:val="000000"/>
          <w:kern w:val="0"/>
          <w:szCs w:val="28"/>
        </w:rPr>
        <w:t>商服用地：1.5</w:t>
      </w:r>
      <w:r>
        <w:rPr>
          <w:rFonts w:ascii="宋体" w:hAnsi="宋体" w:eastAsia="宋体"/>
          <w:color w:val="000000"/>
          <w:kern w:val="0"/>
          <w:szCs w:val="28"/>
        </w:rPr>
        <w:t>；住宅用地：2.5</w:t>
      </w:r>
      <w:r>
        <w:rPr>
          <w:rFonts w:hint="eastAsia" w:ascii="宋体" w:hAnsi="宋体" w:eastAsia="宋体"/>
          <w:color w:val="000000"/>
          <w:kern w:val="0"/>
          <w:szCs w:val="28"/>
        </w:rPr>
        <w:t>；工业用地：</w:t>
      </w:r>
      <w:r>
        <w:rPr>
          <w:rFonts w:ascii="宋体" w:hAnsi="宋体" w:eastAsia="宋体"/>
          <w:color w:val="000000"/>
          <w:kern w:val="0"/>
          <w:szCs w:val="28"/>
        </w:rPr>
        <w:t>1.0；</w:t>
      </w:r>
      <w:r>
        <w:rPr>
          <w:rFonts w:hint="eastAsia" w:ascii="宋体" w:hAnsi="宋体" w:eastAsia="宋体"/>
          <w:color w:val="000000"/>
          <w:kern w:val="0"/>
          <w:szCs w:val="28"/>
        </w:rPr>
        <w:t>公共管理与公共服务用地容积率符合宗地规划设计条件。</w:t>
      </w:r>
    </w:p>
    <w:p>
      <w:pPr>
        <w:tabs>
          <w:tab w:val="left" w:pos="1550"/>
          <w:tab w:val="left" w:pos="1965"/>
          <w:tab w:val="left" w:pos="4875"/>
        </w:tabs>
        <w:spacing w:line="600" w:lineRule="exact"/>
        <w:ind w:firstLine="560" w:firstLineChars="200"/>
        <w:rPr>
          <w:rFonts w:ascii="宋体" w:hAnsi="宋体" w:eastAsia="宋体"/>
          <w:color w:val="000000"/>
          <w:kern w:val="0"/>
          <w:szCs w:val="28"/>
        </w:rPr>
      </w:pPr>
      <w:r>
        <w:rPr>
          <w:rFonts w:hint="eastAsia" w:ascii="宋体" w:hAnsi="宋体" w:eastAsia="宋体"/>
          <w:color w:val="000000"/>
          <w:kern w:val="0"/>
          <w:szCs w:val="28"/>
        </w:rPr>
        <w:t>（4）开发程度</w:t>
      </w:r>
    </w:p>
    <w:p>
      <w:pPr>
        <w:tabs>
          <w:tab w:val="left" w:pos="1550"/>
          <w:tab w:val="left" w:pos="1965"/>
          <w:tab w:val="left" w:pos="4875"/>
        </w:tabs>
        <w:spacing w:line="600" w:lineRule="exact"/>
        <w:ind w:firstLine="560" w:firstLineChars="200"/>
        <w:rPr>
          <w:rFonts w:ascii="宋体" w:hAnsi="宋体" w:eastAsia="宋体"/>
          <w:color w:val="000000"/>
          <w:kern w:val="0"/>
          <w:szCs w:val="28"/>
        </w:rPr>
      </w:pPr>
      <w:r>
        <w:rPr>
          <w:rFonts w:hint="eastAsia" w:ascii="宋体" w:hAnsi="宋体" w:eastAsia="宋体"/>
          <w:color w:val="000000"/>
          <w:kern w:val="0"/>
          <w:szCs w:val="28"/>
        </w:rPr>
        <w:t>宗地外“六通”（通上水，通下水，通电，通气，通讯，通路），宗地内“场平”（场地平整）。</w:t>
      </w:r>
    </w:p>
    <w:p>
      <w:pPr>
        <w:tabs>
          <w:tab w:val="left" w:pos="1550"/>
          <w:tab w:val="left" w:pos="1965"/>
          <w:tab w:val="left" w:pos="4875"/>
        </w:tabs>
        <w:spacing w:line="600" w:lineRule="exact"/>
        <w:ind w:firstLine="560" w:firstLineChars="200"/>
        <w:rPr>
          <w:rFonts w:ascii="宋体" w:hAnsi="宋体" w:eastAsia="宋体"/>
          <w:color w:val="000000"/>
          <w:kern w:val="0"/>
          <w:szCs w:val="28"/>
        </w:rPr>
      </w:pPr>
      <w:r>
        <w:rPr>
          <w:rFonts w:hint="eastAsia" w:ascii="宋体" w:hAnsi="宋体" w:eastAsia="宋体"/>
          <w:color w:val="000000"/>
          <w:kern w:val="0"/>
          <w:szCs w:val="28"/>
        </w:rPr>
        <w:t>（</w:t>
      </w:r>
      <w:r>
        <w:rPr>
          <w:rFonts w:ascii="宋体" w:hAnsi="宋体" w:eastAsia="宋体"/>
          <w:color w:val="000000"/>
          <w:kern w:val="0"/>
          <w:szCs w:val="28"/>
        </w:rPr>
        <w:t>5</w:t>
      </w:r>
      <w:r>
        <w:rPr>
          <w:rFonts w:hint="eastAsia" w:ascii="宋体" w:hAnsi="宋体" w:eastAsia="宋体"/>
          <w:color w:val="000000"/>
          <w:kern w:val="0"/>
          <w:szCs w:val="28"/>
        </w:rPr>
        <w:t>）权利状况</w:t>
      </w:r>
    </w:p>
    <w:p>
      <w:pPr>
        <w:tabs>
          <w:tab w:val="left" w:pos="1550"/>
          <w:tab w:val="left" w:pos="1965"/>
          <w:tab w:val="left" w:pos="4875"/>
        </w:tabs>
        <w:spacing w:line="600" w:lineRule="exact"/>
        <w:ind w:firstLine="560" w:firstLineChars="200"/>
      </w:pPr>
      <w:r>
        <w:rPr>
          <w:rFonts w:hint="eastAsia" w:ascii="宋体" w:hAnsi="宋体" w:eastAsia="宋体"/>
          <w:color w:val="000000"/>
          <w:kern w:val="0"/>
          <w:szCs w:val="28"/>
        </w:rPr>
        <w:t>出让土地使用权，商服、住宅、工业无他项权利限制，公共管理与公共服务用地他项权利状况符合相关法律法规约定。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101300"/>
    <w:multiLevelType w:val="multilevel"/>
    <w:tmpl w:val="0B101300"/>
    <w:lvl w:ilvl="0" w:tentative="0">
      <w:start w:val="1"/>
      <w:numFmt w:val="chineseCountingThousand"/>
      <w:suff w:val="space"/>
      <w:lvlText w:val="第%1篇"/>
      <w:lvlJc w:val="left"/>
      <w:pPr>
        <w:ind w:left="1418" w:hanging="1418"/>
      </w:pPr>
      <w:rPr>
        <w:rFonts w:hint="default"/>
      </w:rPr>
    </w:lvl>
    <w:lvl w:ilvl="1" w:tentative="0">
      <w:start w:val="1"/>
      <w:numFmt w:val="chineseCountingThousand"/>
      <w:suff w:val="space"/>
      <w:lvlText w:val="第%2章"/>
      <w:lvlJc w:val="left"/>
      <w:pPr>
        <w:ind w:left="1418" w:hanging="1418"/>
      </w:pPr>
      <w:rPr>
        <w:rFonts w:hint="default"/>
      </w:rPr>
    </w:lvl>
    <w:lvl w:ilvl="2" w:tentative="0">
      <w:start w:val="1"/>
      <w:numFmt w:val="chineseCountingThousand"/>
      <w:suff w:val="space"/>
      <w:lvlText w:val="第%3节"/>
      <w:lvlJc w:val="left"/>
      <w:pPr>
        <w:ind w:left="1418" w:hanging="1418"/>
      </w:pPr>
      <w:rPr>
        <w:rFonts w:hint="eastAsia"/>
      </w:rPr>
    </w:lvl>
    <w:lvl w:ilvl="3" w:tentative="0">
      <w:start w:val="1"/>
      <w:numFmt w:val="chineseCountingThousand"/>
      <w:suff w:val="space"/>
      <w:lvlText w:val="%4、"/>
      <w:lvlJc w:val="left"/>
      <w:pPr>
        <w:ind w:left="1179" w:hanging="657"/>
      </w:pPr>
      <w:rPr>
        <w:rFonts w:hint="eastAsia"/>
      </w:rPr>
    </w:lvl>
    <w:lvl w:ilvl="4" w:tentative="0">
      <w:start w:val="1"/>
      <w:numFmt w:val="chineseCountingThousand"/>
      <w:suff w:val="space"/>
      <w:lvlText w:val="（%5）"/>
      <w:lvlJc w:val="left"/>
      <w:pPr>
        <w:ind w:left="1378" w:hanging="856"/>
      </w:pPr>
      <w:rPr>
        <w:rFonts w:hint="eastAsia"/>
      </w:rPr>
    </w:lvl>
    <w:lvl w:ilvl="5" w:tentative="0">
      <w:start w:val="1"/>
      <w:numFmt w:val="decimal"/>
      <w:pStyle w:val="2"/>
      <w:suff w:val="space"/>
      <w:lvlText w:val="%6."/>
      <w:lvlJc w:val="left"/>
      <w:pPr>
        <w:ind w:left="828" w:hanging="306"/>
      </w:pPr>
      <w:rPr>
        <w:rFonts w:hint="eastAsia"/>
      </w:rPr>
    </w:lvl>
    <w:lvl w:ilvl="6" w:tentative="0">
      <w:start w:val="1"/>
      <w:numFmt w:val="decimal"/>
      <w:suff w:val="space"/>
      <w:lvlText w:val="（%7）"/>
      <w:lvlJc w:val="left"/>
      <w:pPr>
        <w:ind w:left="1287" w:hanging="765"/>
      </w:pPr>
      <w:rPr>
        <w:rFonts w:hint="eastAsia"/>
      </w:rPr>
    </w:lvl>
    <w:lvl w:ilvl="7" w:tentative="0">
      <w:start w:val="1"/>
      <w:numFmt w:val="decimal"/>
      <w:suff w:val="space"/>
      <w:lvlText w:val="%8）"/>
      <w:lvlJc w:val="left"/>
      <w:pPr>
        <w:ind w:left="992" w:hanging="470"/>
      </w:pPr>
      <w:rPr>
        <w:rFonts w:hint="default"/>
      </w:rPr>
    </w:lvl>
    <w:lvl w:ilvl="8" w:tentative="0">
      <w:start w:val="1"/>
      <w:numFmt w:val="lowerLetter"/>
      <w:suff w:val="space"/>
      <w:lvlText w:val="%9）"/>
      <w:lvlJc w:val="left"/>
      <w:pPr>
        <w:ind w:left="1021" w:hanging="49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3E5"/>
    <w:rsid w:val="000B13E5"/>
    <w:rsid w:val="007943DC"/>
    <w:rsid w:val="007E1301"/>
    <w:rsid w:val="00AC5F02"/>
    <w:rsid w:val="7EBF6C59"/>
    <w:rsid w:val="BBDAE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numPr>
        <w:ilvl w:val="5"/>
        <w:numId w:val="1"/>
      </w:numPr>
      <w:tabs>
        <w:tab w:val="left" w:pos="1965"/>
      </w:tabs>
      <w:adjustRightInd w:val="0"/>
      <w:snapToGrid w:val="0"/>
      <w:ind w:firstLine="0" w:firstLineChars="0"/>
      <w:outlineLvl w:val="5"/>
    </w:pPr>
    <w:rPr>
      <w:color w:val="000000" w:themeColor="text1"/>
      <w14:textFill>
        <w14:solidFill>
          <w14:schemeClr w14:val="tx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表名"/>
    <w:basedOn w:val="1"/>
    <w:link w:val="10"/>
    <w:qFormat/>
    <w:uiPriority w:val="0"/>
    <w:pPr>
      <w:tabs>
        <w:tab w:val="right" w:pos="600"/>
        <w:tab w:val="left" w:pos="1965"/>
      </w:tabs>
      <w:adjustRightInd w:val="0"/>
      <w:snapToGrid w:val="0"/>
      <w:spacing w:line="600" w:lineRule="exact"/>
      <w:jc w:val="center"/>
    </w:pPr>
    <w:rPr>
      <w:rFonts w:ascii="宋体" w:hAnsi="宋体" w:eastAsia="宋体"/>
      <w:b/>
      <w:kern w:val="0"/>
      <w:szCs w:val="28"/>
    </w:rPr>
  </w:style>
  <w:style w:type="character" w:customStyle="1" w:styleId="10">
    <w:name w:val="表名 Char"/>
    <w:basedOn w:val="6"/>
    <w:link w:val="9"/>
    <w:qFormat/>
    <w:uiPriority w:val="0"/>
    <w:rPr>
      <w:rFonts w:ascii="宋体" w:hAnsi="宋体" w:eastAsia="宋体" w:cs="Times New Roman"/>
      <w:b/>
      <w:kern w:val="0"/>
      <w:sz w:val="28"/>
      <w:szCs w:val="28"/>
    </w:rPr>
  </w:style>
  <w:style w:type="paragraph" w:customStyle="1" w:styleId="11">
    <w:name w:val="表注："/>
    <w:basedOn w:val="1"/>
    <w:link w:val="12"/>
    <w:qFormat/>
    <w:uiPriority w:val="0"/>
    <w:pPr>
      <w:tabs>
        <w:tab w:val="left" w:pos="1965"/>
      </w:tabs>
      <w:adjustRightInd w:val="0"/>
      <w:snapToGrid w:val="0"/>
      <w:spacing w:line="240" w:lineRule="auto"/>
    </w:pPr>
    <w:rPr>
      <w:rFonts w:ascii="宋体" w:hAnsi="宋体" w:eastAsia="宋体"/>
      <w:kern w:val="0"/>
      <w:sz w:val="18"/>
      <w:szCs w:val="28"/>
    </w:rPr>
  </w:style>
  <w:style w:type="character" w:customStyle="1" w:styleId="12">
    <w:name w:val="表注： Char"/>
    <w:basedOn w:val="6"/>
    <w:link w:val="11"/>
    <w:qFormat/>
    <w:uiPriority w:val="0"/>
    <w:rPr>
      <w:rFonts w:ascii="宋体" w:hAnsi="宋体" w:eastAsia="宋体" w:cs="Times New Roman"/>
      <w:kern w:val="0"/>
      <w:sz w:val="1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500</Characters>
  <Lines>4</Lines>
  <Paragraphs>1</Paragraphs>
  <TotalTime>0</TotalTime>
  <ScaleCrop>false</ScaleCrop>
  <LinksUpToDate>false</LinksUpToDate>
  <CharactersWithSpaces>586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2022-08-04T18:25:00Z</dcterms:created>
  <dc:creator>何 俊锋</dc:creator>
  <cp:lastModifiedBy>用户</cp:lastModifiedBy>
  <dcterms:modified xsi:type="dcterms:W3CDTF">2022-08-10T11:19:14Z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